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D2" w:rsidRDefault="00A91ACC">
      <w:pPr>
        <w:spacing w:before="72"/>
        <w:ind w:right="117"/>
        <w:jc w:val="right"/>
        <w:rPr>
          <w:b/>
          <w:sz w:val="11"/>
        </w:rPr>
      </w:pPr>
      <w:bookmarkStart w:id="0" w:name="_GoBack"/>
      <w:bookmarkEnd w:id="0"/>
      <w:r>
        <w:rPr>
          <w:b/>
          <w:color w:val="313131"/>
          <w:sz w:val="11"/>
        </w:rPr>
        <w:t>47815</w:t>
      </w:r>
    </w:p>
    <w:p w:rsidR="00FA0DD2" w:rsidRDefault="00A91ACC">
      <w:pPr>
        <w:spacing w:before="111" w:line="225" w:lineRule="auto"/>
        <w:ind w:left="1093" w:right="1675" w:hanging="66"/>
        <w:jc w:val="center"/>
        <w:rPr>
          <w:b/>
          <w:sz w:val="74"/>
        </w:rPr>
      </w:pPr>
      <w:r>
        <w:rPr>
          <w:b/>
          <w:color w:val="313131"/>
          <w:w w:val="105"/>
          <w:sz w:val="74"/>
        </w:rPr>
        <w:t xml:space="preserve">ORTHODONTIC </w:t>
      </w:r>
      <w:r>
        <w:rPr>
          <w:b/>
          <w:color w:val="313131"/>
          <w:sz w:val="74"/>
        </w:rPr>
        <w:t>INFORMED</w:t>
      </w:r>
      <w:r>
        <w:rPr>
          <w:b/>
          <w:color w:val="313131"/>
          <w:spacing w:val="60"/>
          <w:sz w:val="74"/>
        </w:rPr>
        <w:t xml:space="preserve"> </w:t>
      </w:r>
      <w:r>
        <w:rPr>
          <w:b/>
          <w:color w:val="313131"/>
          <w:sz w:val="74"/>
        </w:rPr>
        <w:t>CONSENT</w:t>
      </w:r>
    </w:p>
    <w:p w:rsidR="001A3D23" w:rsidRPr="009A488A" w:rsidRDefault="00057AEF" w:rsidP="00705BCE">
      <w:pPr>
        <w:spacing w:before="216"/>
        <w:ind w:right="660"/>
        <w:jc w:val="center"/>
        <w:rPr>
          <w:b/>
          <w:color w:val="313131"/>
          <w:w w:val="105"/>
          <w:sz w:val="44"/>
        </w:rPr>
      </w:pPr>
      <w:r>
        <w:rPr>
          <w:b/>
          <w:color w:val="313131"/>
          <w:w w:val="105"/>
          <w:sz w:val="44"/>
        </w:rPr>
        <w:t>U</w:t>
      </w:r>
      <w:r w:rsidR="00B61B0C" w:rsidRPr="00705BCE">
        <w:rPr>
          <w:b/>
          <w:color w:val="313131"/>
          <w:w w:val="105"/>
          <w:sz w:val="44"/>
        </w:rPr>
        <w:t xml:space="preserve">se of </w:t>
      </w:r>
      <w:r w:rsidR="00705BCE">
        <w:rPr>
          <w:b/>
          <w:color w:val="313131"/>
          <w:w w:val="105"/>
          <w:sz w:val="44"/>
        </w:rPr>
        <w:t>B</w:t>
      </w:r>
      <w:r w:rsidR="00A91ACC" w:rsidRPr="00705BCE">
        <w:rPr>
          <w:b/>
          <w:color w:val="313131"/>
          <w:w w:val="105"/>
          <w:sz w:val="44"/>
        </w:rPr>
        <w:t>isphosphonate</w:t>
      </w:r>
      <w:r w:rsidR="00B61B0C" w:rsidRPr="00705BCE">
        <w:rPr>
          <w:b/>
          <w:color w:val="313131"/>
          <w:w w:val="105"/>
          <w:sz w:val="44"/>
        </w:rPr>
        <w:t xml:space="preserve">s or </w:t>
      </w:r>
      <w:r w:rsidR="00705BCE">
        <w:rPr>
          <w:b/>
          <w:color w:val="313131"/>
          <w:w w:val="105"/>
          <w:sz w:val="44"/>
        </w:rPr>
        <w:t>O</w:t>
      </w:r>
      <w:r w:rsidR="00B61B0C" w:rsidRPr="00705BCE">
        <w:rPr>
          <w:b/>
          <w:color w:val="313131"/>
          <w:w w:val="105"/>
          <w:sz w:val="44"/>
        </w:rPr>
        <w:t xml:space="preserve">ther </w:t>
      </w:r>
      <w:r w:rsidR="00705BCE">
        <w:rPr>
          <w:b/>
          <w:color w:val="313131"/>
          <w:w w:val="105"/>
          <w:sz w:val="44"/>
        </w:rPr>
        <w:t>A</w:t>
      </w:r>
      <w:r w:rsidR="00B61B0C" w:rsidRPr="00705BCE">
        <w:rPr>
          <w:b/>
          <w:color w:val="313131"/>
          <w:w w:val="105"/>
          <w:sz w:val="44"/>
        </w:rPr>
        <w:t xml:space="preserve">ntiresorptive </w:t>
      </w:r>
      <w:r w:rsidR="00705BCE" w:rsidRPr="00705BCE">
        <w:rPr>
          <w:b/>
          <w:color w:val="313131"/>
          <w:w w:val="105"/>
          <w:sz w:val="44"/>
        </w:rPr>
        <w:t xml:space="preserve">Drugs </w:t>
      </w:r>
      <w:r w:rsidR="00705BCE">
        <w:rPr>
          <w:b/>
          <w:color w:val="313131"/>
          <w:w w:val="105"/>
          <w:sz w:val="44"/>
        </w:rPr>
        <w:t>f</w:t>
      </w:r>
      <w:r w:rsidR="00705BCE" w:rsidRPr="00705BCE">
        <w:rPr>
          <w:b/>
          <w:color w:val="313131"/>
          <w:w w:val="105"/>
          <w:sz w:val="44"/>
        </w:rPr>
        <w:t xml:space="preserve">or Treating Osteopenia </w:t>
      </w:r>
      <w:r w:rsidR="00705BCE">
        <w:rPr>
          <w:b/>
          <w:color w:val="313131"/>
          <w:w w:val="105"/>
          <w:sz w:val="44"/>
        </w:rPr>
        <w:t>o</w:t>
      </w:r>
      <w:r w:rsidR="00705BCE" w:rsidRPr="00705BCE">
        <w:rPr>
          <w:b/>
          <w:color w:val="313131"/>
          <w:w w:val="105"/>
          <w:sz w:val="44"/>
        </w:rPr>
        <w:t>r Osteoporosis</w:t>
      </w:r>
    </w:p>
    <w:p w:rsidR="00FA0DD2" w:rsidRDefault="001A195C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D30D9A6" wp14:editId="361A8F4B">
                <wp:simplePos x="0" y="0"/>
                <wp:positionH relativeFrom="page">
                  <wp:posOffset>659130</wp:posOffset>
                </wp:positionH>
                <wp:positionV relativeFrom="paragraph">
                  <wp:posOffset>176530</wp:posOffset>
                </wp:positionV>
                <wp:extent cx="6423025" cy="0"/>
                <wp:effectExtent l="11430" t="5080" r="13970" b="1397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8ECF64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9pt,13.9pt" to="557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Y/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" strokeweight=".25431mm">
                <w10:wrap type="topAndBottom" anchorx="page"/>
              </v:line>
            </w:pict>
          </mc:Fallback>
        </mc:AlternateContent>
      </w:r>
    </w:p>
    <w:p w:rsidR="00FA0DD2" w:rsidRDefault="00F23616">
      <w:pPr>
        <w:spacing w:before="222"/>
        <w:ind w:left="1471" w:right="2021"/>
        <w:jc w:val="center"/>
        <w:rPr>
          <w:b/>
          <w:i/>
          <w:sz w:val="44"/>
        </w:rPr>
      </w:pPr>
      <w:r>
        <w:rPr>
          <w:b/>
          <w:i/>
          <w:color w:val="313131"/>
          <w:sz w:val="44"/>
          <w:szCs w:val="44"/>
        </w:rPr>
        <w:t>F</w:t>
      </w:r>
      <w:r w:rsidR="00A91ACC" w:rsidRPr="00705BCE">
        <w:rPr>
          <w:b/>
          <w:i/>
          <w:color w:val="313131"/>
          <w:sz w:val="44"/>
          <w:szCs w:val="44"/>
        </w:rPr>
        <w:t>or</w:t>
      </w:r>
      <w:r w:rsidR="00A91ACC">
        <w:rPr>
          <w:i/>
          <w:color w:val="313131"/>
          <w:sz w:val="51"/>
        </w:rPr>
        <w:t xml:space="preserve"> </w:t>
      </w:r>
      <w:r w:rsidR="00A91ACC">
        <w:rPr>
          <w:b/>
          <w:i/>
          <w:color w:val="313131"/>
          <w:sz w:val="44"/>
        </w:rPr>
        <w:t>the Orthodontic Patient</w:t>
      </w:r>
    </w:p>
    <w:p w:rsidR="00FA0DD2" w:rsidRDefault="00A91ACC">
      <w:pPr>
        <w:spacing w:before="95"/>
        <w:ind w:left="1471" w:right="2033"/>
        <w:jc w:val="center"/>
        <w:rPr>
          <w:b/>
          <w:sz w:val="30"/>
        </w:rPr>
      </w:pPr>
      <w:r>
        <w:rPr>
          <w:b/>
          <w:color w:val="313131"/>
          <w:sz w:val="30"/>
        </w:rPr>
        <w:t>Risks and Limitations of Orthodontic Treatment</w:t>
      </w:r>
    </w:p>
    <w:p w:rsidR="00EB4250" w:rsidRDefault="00EB4250">
      <w:pPr>
        <w:pStyle w:val="BodyText"/>
        <w:rPr>
          <w:b/>
          <w:sz w:val="17"/>
        </w:rPr>
      </w:pPr>
    </w:p>
    <w:p w:rsidR="00EB4250" w:rsidRDefault="00EB4250">
      <w:pPr>
        <w:pStyle w:val="BodyText"/>
        <w:rPr>
          <w:b/>
          <w:sz w:val="20"/>
        </w:rPr>
      </w:pPr>
    </w:p>
    <w:p w:rsidR="00FA0DD2" w:rsidRDefault="00FA0DD2">
      <w:pPr>
        <w:pStyle w:val="BodyText"/>
        <w:spacing w:before="5"/>
        <w:rPr>
          <w:b/>
          <w:sz w:val="17"/>
        </w:rPr>
      </w:pPr>
    </w:p>
    <w:p w:rsidR="00FA0DD2" w:rsidRDefault="00FA0DD2" w:rsidP="00705BCE">
      <w:pPr>
        <w:ind w:left="180"/>
        <w:rPr>
          <w:sz w:val="17"/>
        </w:rPr>
        <w:sectPr w:rsidR="00FA0DD2">
          <w:type w:val="continuous"/>
          <w:pgSz w:w="12240" w:h="15840"/>
          <w:pgMar w:top="60" w:right="400" w:bottom="0" w:left="920" w:header="720" w:footer="720" w:gutter="0"/>
          <w:cols w:space="720"/>
        </w:sectPr>
      </w:pPr>
    </w:p>
    <w:p w:rsidR="00CD1A68" w:rsidRDefault="00A91ACC" w:rsidP="00705BCE">
      <w:pPr>
        <w:pStyle w:val="BodyText"/>
        <w:spacing w:line="278" w:lineRule="auto"/>
        <w:ind w:left="180" w:right="181"/>
        <w:rPr>
          <w:color w:val="313131"/>
          <w:w w:val="105"/>
          <w:sz w:val="20"/>
          <w:szCs w:val="20"/>
        </w:rPr>
      </w:pPr>
      <w:r w:rsidRPr="00A85AC6">
        <w:rPr>
          <w:color w:val="313131"/>
          <w:w w:val="105"/>
          <w:sz w:val="20"/>
          <w:szCs w:val="20"/>
        </w:rPr>
        <w:lastRenderedPageBreak/>
        <w:t xml:space="preserve">The purpose of </w:t>
      </w:r>
      <w:r w:rsidR="00300C9C" w:rsidRPr="00A85AC6">
        <w:rPr>
          <w:color w:val="313131"/>
          <w:w w:val="105"/>
          <w:sz w:val="20"/>
          <w:szCs w:val="20"/>
        </w:rPr>
        <w:t>this</w:t>
      </w:r>
      <w:r w:rsidRPr="00A85AC6">
        <w:rPr>
          <w:color w:val="313131"/>
          <w:w w:val="105"/>
          <w:sz w:val="20"/>
          <w:szCs w:val="20"/>
        </w:rPr>
        <w:t xml:space="preserve"> document is to inform you of the general risks associated with orthodontic treatment of patients who are now taking, or have taken in the past, medications known as "</w:t>
      </w:r>
      <w:r w:rsidR="001A3D23" w:rsidRPr="00A85AC6">
        <w:rPr>
          <w:color w:val="313131"/>
          <w:w w:val="105"/>
          <w:sz w:val="20"/>
          <w:szCs w:val="20"/>
        </w:rPr>
        <w:t>bisphosphonates</w:t>
      </w:r>
      <w:r w:rsidR="00F172CA" w:rsidRPr="00A85AC6">
        <w:rPr>
          <w:color w:val="313131"/>
          <w:w w:val="105"/>
          <w:sz w:val="20"/>
          <w:szCs w:val="20"/>
        </w:rPr>
        <w:t xml:space="preserve">”, </w:t>
      </w:r>
      <w:r w:rsidR="001A3D23" w:rsidRPr="00A85AC6">
        <w:rPr>
          <w:color w:val="313131"/>
          <w:w w:val="105"/>
          <w:sz w:val="20"/>
          <w:szCs w:val="20"/>
        </w:rPr>
        <w:t xml:space="preserve">or other </w:t>
      </w:r>
      <w:r w:rsidR="009A488A">
        <w:rPr>
          <w:color w:val="313131"/>
          <w:w w:val="105"/>
          <w:sz w:val="20"/>
          <w:szCs w:val="20"/>
        </w:rPr>
        <w:t xml:space="preserve">antiresorptive </w:t>
      </w:r>
      <w:r w:rsidR="001A3D23" w:rsidRPr="00A85AC6">
        <w:rPr>
          <w:color w:val="313131"/>
          <w:w w:val="105"/>
          <w:sz w:val="20"/>
          <w:szCs w:val="20"/>
        </w:rPr>
        <w:t xml:space="preserve">drugs </w:t>
      </w:r>
      <w:r w:rsidR="00280EF4" w:rsidRPr="00A85AC6">
        <w:rPr>
          <w:color w:val="313131"/>
          <w:w w:val="105"/>
          <w:sz w:val="20"/>
          <w:szCs w:val="20"/>
        </w:rPr>
        <w:t>for</w:t>
      </w:r>
      <w:r w:rsidR="001A3D23" w:rsidRPr="00A85AC6">
        <w:rPr>
          <w:color w:val="313131"/>
          <w:w w:val="105"/>
          <w:sz w:val="20"/>
          <w:szCs w:val="20"/>
        </w:rPr>
        <w:t xml:space="preserve"> treating osteopenia or </w:t>
      </w:r>
      <w:r w:rsidR="00442D26">
        <w:rPr>
          <w:color w:val="313131"/>
          <w:w w:val="105"/>
          <w:sz w:val="20"/>
          <w:szCs w:val="20"/>
        </w:rPr>
        <w:t>o</w:t>
      </w:r>
      <w:r w:rsidR="00F172CA" w:rsidRPr="00A85AC6">
        <w:rPr>
          <w:color w:val="313131"/>
          <w:w w:val="105"/>
          <w:sz w:val="20"/>
          <w:szCs w:val="20"/>
        </w:rPr>
        <w:t>steoporosis</w:t>
      </w:r>
      <w:r w:rsidR="001A3D23" w:rsidRPr="00A85AC6">
        <w:rPr>
          <w:color w:val="313131"/>
          <w:w w:val="105"/>
          <w:sz w:val="20"/>
          <w:szCs w:val="20"/>
        </w:rPr>
        <w:t xml:space="preserve">. </w:t>
      </w:r>
      <w:r w:rsidRPr="00A85AC6">
        <w:rPr>
          <w:color w:val="313131"/>
          <w:w w:val="105"/>
          <w:sz w:val="20"/>
          <w:szCs w:val="20"/>
        </w:rPr>
        <w:t xml:space="preserve"> </w:t>
      </w:r>
    </w:p>
    <w:p w:rsidR="00CD1A68" w:rsidRDefault="00CD1A68" w:rsidP="00705BCE">
      <w:pPr>
        <w:pStyle w:val="BodyText"/>
        <w:spacing w:line="278" w:lineRule="auto"/>
        <w:ind w:left="180" w:right="181"/>
        <w:rPr>
          <w:color w:val="313131"/>
          <w:w w:val="105"/>
          <w:sz w:val="20"/>
          <w:szCs w:val="20"/>
        </w:rPr>
      </w:pPr>
    </w:p>
    <w:p w:rsidR="003B5D2B" w:rsidRDefault="00014288" w:rsidP="00705BCE">
      <w:pPr>
        <w:pStyle w:val="BodyText"/>
        <w:spacing w:line="278" w:lineRule="auto"/>
        <w:ind w:left="180" w:right="181"/>
        <w:rPr>
          <w:color w:val="313131"/>
          <w:w w:val="105"/>
          <w:sz w:val="20"/>
          <w:szCs w:val="20"/>
        </w:rPr>
      </w:pPr>
      <w:r w:rsidRPr="00014288">
        <w:rPr>
          <w:color w:val="313131"/>
          <w:w w:val="105"/>
          <w:sz w:val="20"/>
          <w:szCs w:val="20"/>
        </w:rPr>
        <w:t xml:space="preserve">Bisphosphonate medications you may be taking, or have taken, include: </w:t>
      </w:r>
      <w:r w:rsidRPr="00705BCE">
        <w:rPr>
          <w:b/>
          <w:color w:val="313131"/>
          <w:w w:val="105"/>
          <w:sz w:val="20"/>
          <w:szCs w:val="20"/>
        </w:rPr>
        <w:t>Fosamax</w:t>
      </w:r>
      <w:r w:rsidR="00394235" w:rsidRPr="003B0EFB">
        <w:rPr>
          <w:rStyle w:val="st"/>
          <w:sz w:val="20"/>
          <w:szCs w:val="20"/>
        </w:rPr>
        <w:t xml:space="preserve">® </w:t>
      </w:r>
      <w:r w:rsidRPr="00014288">
        <w:rPr>
          <w:color w:val="313131"/>
          <w:w w:val="105"/>
          <w:sz w:val="20"/>
          <w:szCs w:val="20"/>
        </w:rPr>
        <w:t xml:space="preserve">(alendronate), </w:t>
      </w:r>
      <w:r w:rsidRPr="00705BCE">
        <w:rPr>
          <w:b/>
          <w:color w:val="313131"/>
          <w:w w:val="105"/>
          <w:sz w:val="20"/>
          <w:szCs w:val="20"/>
        </w:rPr>
        <w:t>Acton</w:t>
      </w:r>
      <w:r w:rsidR="00394235">
        <w:rPr>
          <w:b/>
          <w:color w:val="313131"/>
          <w:w w:val="105"/>
          <w:sz w:val="20"/>
          <w:szCs w:val="20"/>
        </w:rPr>
        <w:t>el</w:t>
      </w:r>
      <w:r w:rsidR="00394235" w:rsidRPr="003B0EFB">
        <w:rPr>
          <w:rStyle w:val="st"/>
          <w:sz w:val="20"/>
          <w:szCs w:val="20"/>
        </w:rPr>
        <w:t xml:space="preserve">® </w:t>
      </w:r>
      <w:r w:rsidRPr="00014288">
        <w:rPr>
          <w:color w:val="313131"/>
          <w:w w:val="105"/>
          <w:sz w:val="20"/>
          <w:szCs w:val="20"/>
        </w:rPr>
        <w:t xml:space="preserve">(risedronate), </w:t>
      </w:r>
      <w:r w:rsidRPr="00705BCE">
        <w:rPr>
          <w:b/>
          <w:color w:val="313131"/>
          <w:w w:val="105"/>
          <w:sz w:val="20"/>
          <w:szCs w:val="20"/>
        </w:rPr>
        <w:t>Boniva</w:t>
      </w:r>
      <w:r w:rsidR="009673EC" w:rsidRPr="003B0EFB">
        <w:rPr>
          <w:rStyle w:val="st"/>
          <w:sz w:val="20"/>
          <w:szCs w:val="20"/>
        </w:rPr>
        <w:t>®</w:t>
      </w:r>
      <w:r w:rsidRPr="00014288">
        <w:rPr>
          <w:color w:val="313131"/>
          <w:w w:val="105"/>
          <w:sz w:val="20"/>
          <w:szCs w:val="20"/>
        </w:rPr>
        <w:t xml:space="preserve"> (ibandronate), </w:t>
      </w:r>
      <w:r w:rsidRPr="00705BCE">
        <w:rPr>
          <w:b/>
          <w:color w:val="313131"/>
          <w:w w:val="105"/>
          <w:sz w:val="20"/>
          <w:szCs w:val="20"/>
        </w:rPr>
        <w:t>Skelid</w:t>
      </w:r>
      <w:r w:rsidR="00394235" w:rsidRPr="003B0EFB">
        <w:rPr>
          <w:rStyle w:val="st"/>
          <w:sz w:val="20"/>
          <w:szCs w:val="20"/>
        </w:rPr>
        <w:t xml:space="preserve">® </w:t>
      </w:r>
      <w:r w:rsidRPr="00014288">
        <w:rPr>
          <w:color w:val="313131"/>
          <w:w w:val="105"/>
          <w:sz w:val="20"/>
          <w:szCs w:val="20"/>
        </w:rPr>
        <w:t>(</w:t>
      </w:r>
      <w:r w:rsidR="00394235">
        <w:rPr>
          <w:color w:val="313131"/>
          <w:w w:val="105"/>
          <w:sz w:val="20"/>
          <w:szCs w:val="20"/>
        </w:rPr>
        <w:t>t</w:t>
      </w:r>
      <w:r w:rsidRPr="00014288">
        <w:rPr>
          <w:color w:val="313131"/>
          <w:w w:val="105"/>
          <w:sz w:val="20"/>
          <w:szCs w:val="20"/>
        </w:rPr>
        <w:t>iludrona</w:t>
      </w:r>
      <w:r w:rsidR="00394235">
        <w:rPr>
          <w:color w:val="313131"/>
          <w:w w:val="105"/>
          <w:sz w:val="20"/>
          <w:szCs w:val="20"/>
        </w:rPr>
        <w:t>te</w:t>
      </w:r>
      <w:r w:rsidRPr="00014288">
        <w:rPr>
          <w:color w:val="313131"/>
          <w:w w:val="105"/>
          <w:sz w:val="20"/>
          <w:szCs w:val="20"/>
        </w:rPr>
        <w:t xml:space="preserve">), </w:t>
      </w:r>
      <w:r w:rsidRPr="00705BCE">
        <w:rPr>
          <w:b/>
          <w:color w:val="313131"/>
          <w:w w:val="105"/>
          <w:sz w:val="20"/>
          <w:szCs w:val="20"/>
        </w:rPr>
        <w:t>Didronel</w:t>
      </w:r>
      <w:r w:rsidR="00394235" w:rsidRPr="003B0EFB">
        <w:rPr>
          <w:rStyle w:val="st"/>
          <w:sz w:val="20"/>
          <w:szCs w:val="20"/>
        </w:rPr>
        <w:t xml:space="preserve">® </w:t>
      </w:r>
      <w:r w:rsidRPr="00014288">
        <w:rPr>
          <w:color w:val="313131"/>
          <w:w w:val="105"/>
          <w:sz w:val="20"/>
          <w:szCs w:val="20"/>
        </w:rPr>
        <w:t xml:space="preserve">(etidronate), </w:t>
      </w:r>
      <w:r w:rsidRPr="00705BCE">
        <w:rPr>
          <w:b/>
          <w:color w:val="313131"/>
          <w:w w:val="105"/>
          <w:sz w:val="20"/>
          <w:szCs w:val="20"/>
        </w:rPr>
        <w:t>Aredia</w:t>
      </w:r>
      <w:r w:rsidR="009673EC" w:rsidRPr="003B0EFB">
        <w:rPr>
          <w:rStyle w:val="st"/>
          <w:sz w:val="20"/>
          <w:szCs w:val="20"/>
        </w:rPr>
        <w:t>®</w:t>
      </w:r>
      <w:r>
        <w:rPr>
          <w:color w:val="313131"/>
          <w:w w:val="105"/>
          <w:sz w:val="20"/>
          <w:szCs w:val="20"/>
        </w:rPr>
        <w:t xml:space="preserve"> (pamidronate), or </w:t>
      </w:r>
      <w:r w:rsidRPr="00705BCE">
        <w:rPr>
          <w:b/>
          <w:color w:val="313131"/>
          <w:w w:val="105"/>
          <w:sz w:val="20"/>
          <w:szCs w:val="20"/>
        </w:rPr>
        <w:t>Zometa</w:t>
      </w:r>
      <w:r w:rsidR="00394235" w:rsidRPr="003B0EFB">
        <w:rPr>
          <w:rStyle w:val="st"/>
          <w:sz w:val="20"/>
          <w:szCs w:val="20"/>
        </w:rPr>
        <w:t xml:space="preserve">® </w:t>
      </w:r>
      <w:r w:rsidRPr="00014288">
        <w:rPr>
          <w:color w:val="313131"/>
          <w:w w:val="105"/>
          <w:sz w:val="20"/>
          <w:szCs w:val="20"/>
        </w:rPr>
        <w:t>(zoledronic acid). There may be other brand names in addition to those</w:t>
      </w:r>
      <w:r w:rsidR="005D2BB6">
        <w:rPr>
          <w:color w:val="313131"/>
          <w:w w:val="105"/>
          <w:sz w:val="20"/>
          <w:szCs w:val="20"/>
        </w:rPr>
        <w:t xml:space="preserve"> listed </w:t>
      </w:r>
      <w:r w:rsidRPr="00014288">
        <w:rPr>
          <w:color w:val="313131"/>
          <w:w w:val="105"/>
          <w:sz w:val="20"/>
          <w:szCs w:val="20"/>
        </w:rPr>
        <w:t xml:space="preserve">above.  </w:t>
      </w:r>
      <w:r w:rsidR="003B5D2B">
        <w:rPr>
          <w:color w:val="313131"/>
          <w:w w:val="105"/>
          <w:sz w:val="20"/>
          <w:szCs w:val="20"/>
        </w:rPr>
        <w:t>Other a</w:t>
      </w:r>
      <w:r w:rsidRPr="00014288">
        <w:rPr>
          <w:color w:val="313131"/>
          <w:w w:val="105"/>
          <w:sz w:val="20"/>
          <w:szCs w:val="20"/>
        </w:rPr>
        <w:t xml:space="preserve">ntiresorptive drugs you may be taking, or have taken, include:  </w:t>
      </w:r>
      <w:proofErr w:type="spellStart"/>
      <w:r w:rsidRPr="00705BCE">
        <w:rPr>
          <w:b/>
          <w:color w:val="313131"/>
          <w:w w:val="105"/>
          <w:sz w:val="20"/>
          <w:szCs w:val="20"/>
        </w:rPr>
        <w:t>Prolia</w:t>
      </w:r>
      <w:proofErr w:type="spellEnd"/>
      <w:r w:rsidR="00394235" w:rsidRPr="003B0EFB">
        <w:rPr>
          <w:rStyle w:val="st"/>
          <w:sz w:val="20"/>
          <w:szCs w:val="20"/>
        </w:rPr>
        <w:t>®</w:t>
      </w:r>
      <w:r w:rsidR="009673EC">
        <w:rPr>
          <w:rStyle w:val="st"/>
          <w:sz w:val="20"/>
          <w:szCs w:val="20"/>
        </w:rPr>
        <w:t xml:space="preserve">, </w:t>
      </w:r>
      <w:proofErr w:type="spellStart"/>
      <w:r w:rsidR="0060377A" w:rsidRPr="0060377A">
        <w:rPr>
          <w:rStyle w:val="st"/>
          <w:b/>
          <w:sz w:val="20"/>
          <w:szCs w:val="20"/>
        </w:rPr>
        <w:t>Forteo</w:t>
      </w:r>
      <w:proofErr w:type="spellEnd"/>
      <w:r w:rsidR="00DE0439">
        <w:rPr>
          <w:rStyle w:val="st"/>
          <w:sz w:val="20"/>
          <w:szCs w:val="20"/>
        </w:rPr>
        <w:t>®</w:t>
      </w:r>
      <w:r w:rsidR="0060377A">
        <w:rPr>
          <w:rStyle w:val="st"/>
          <w:sz w:val="20"/>
          <w:szCs w:val="20"/>
        </w:rPr>
        <w:t xml:space="preserve">, </w:t>
      </w:r>
      <w:proofErr w:type="spellStart"/>
      <w:r w:rsidRPr="00705BCE">
        <w:rPr>
          <w:b/>
          <w:color w:val="313131"/>
          <w:w w:val="105"/>
          <w:sz w:val="20"/>
          <w:szCs w:val="20"/>
        </w:rPr>
        <w:t>Xgeva</w:t>
      </w:r>
      <w:proofErr w:type="spellEnd"/>
      <w:r w:rsidR="00394235" w:rsidRPr="003B0EFB">
        <w:rPr>
          <w:rStyle w:val="st"/>
          <w:sz w:val="20"/>
          <w:szCs w:val="20"/>
        </w:rPr>
        <w:t xml:space="preserve">® </w:t>
      </w:r>
      <w:r w:rsidR="00394235" w:rsidRPr="00014288">
        <w:rPr>
          <w:color w:val="313131"/>
          <w:w w:val="105"/>
          <w:sz w:val="20"/>
          <w:szCs w:val="20"/>
        </w:rPr>
        <w:t>(</w:t>
      </w:r>
      <w:proofErr w:type="spellStart"/>
      <w:r w:rsidR="00394235">
        <w:rPr>
          <w:color w:val="313131"/>
          <w:w w:val="105"/>
          <w:sz w:val="20"/>
          <w:szCs w:val="20"/>
        </w:rPr>
        <w:t>d</w:t>
      </w:r>
      <w:r w:rsidRPr="00014288">
        <w:rPr>
          <w:color w:val="313131"/>
          <w:w w:val="105"/>
          <w:sz w:val="20"/>
          <w:szCs w:val="20"/>
        </w:rPr>
        <w:t>enosumab</w:t>
      </w:r>
      <w:proofErr w:type="spellEnd"/>
      <w:r w:rsidRPr="00014288">
        <w:rPr>
          <w:color w:val="313131"/>
          <w:w w:val="105"/>
          <w:sz w:val="20"/>
          <w:szCs w:val="20"/>
        </w:rPr>
        <w:t>).</w:t>
      </w:r>
    </w:p>
    <w:p w:rsidR="003B5D2B" w:rsidRDefault="003B5D2B" w:rsidP="00705BCE">
      <w:pPr>
        <w:pStyle w:val="BodyText"/>
        <w:spacing w:line="278" w:lineRule="auto"/>
        <w:ind w:left="180" w:right="181"/>
        <w:rPr>
          <w:color w:val="313131"/>
          <w:w w:val="105"/>
          <w:sz w:val="20"/>
          <w:szCs w:val="20"/>
        </w:rPr>
      </w:pPr>
    </w:p>
    <w:p w:rsidR="00CF4FDD" w:rsidRDefault="00B61B0C" w:rsidP="00CF4FDD">
      <w:pPr>
        <w:pStyle w:val="BodyText"/>
        <w:spacing w:line="278" w:lineRule="auto"/>
        <w:ind w:left="187" w:right="181"/>
        <w:rPr>
          <w:color w:val="313131"/>
          <w:w w:val="105"/>
          <w:sz w:val="20"/>
          <w:szCs w:val="20"/>
        </w:rPr>
      </w:pPr>
      <w:r>
        <w:rPr>
          <w:color w:val="313131"/>
          <w:w w:val="105"/>
          <w:sz w:val="20"/>
          <w:szCs w:val="20"/>
        </w:rPr>
        <w:t>These types of</w:t>
      </w:r>
      <w:r w:rsidR="00A91ACC" w:rsidRPr="00A85AC6">
        <w:rPr>
          <w:color w:val="313131"/>
          <w:w w:val="105"/>
          <w:sz w:val="20"/>
          <w:szCs w:val="20"/>
        </w:rPr>
        <w:t xml:space="preserve"> medications</w:t>
      </w:r>
      <w:r>
        <w:rPr>
          <w:color w:val="313131"/>
          <w:w w:val="105"/>
          <w:sz w:val="20"/>
          <w:szCs w:val="20"/>
        </w:rPr>
        <w:t xml:space="preserve"> are</w:t>
      </w:r>
      <w:r w:rsidR="00A91ACC" w:rsidRPr="00A85AC6">
        <w:rPr>
          <w:color w:val="313131"/>
          <w:w w:val="105"/>
          <w:sz w:val="20"/>
          <w:szCs w:val="20"/>
        </w:rPr>
        <w:t xml:space="preserve"> prescribed by your physician </w:t>
      </w:r>
      <w:r w:rsidR="005B3647">
        <w:rPr>
          <w:color w:val="313131"/>
          <w:w w:val="105"/>
          <w:sz w:val="20"/>
          <w:szCs w:val="20"/>
        </w:rPr>
        <w:t xml:space="preserve">as part of a </w:t>
      </w:r>
      <w:r w:rsidR="00A91ACC" w:rsidRPr="00A85AC6">
        <w:rPr>
          <w:color w:val="313131"/>
          <w:w w:val="105"/>
          <w:sz w:val="20"/>
          <w:szCs w:val="20"/>
        </w:rPr>
        <w:t xml:space="preserve">treatment </w:t>
      </w:r>
      <w:r w:rsidR="005B3647">
        <w:rPr>
          <w:color w:val="313131"/>
          <w:w w:val="105"/>
          <w:sz w:val="20"/>
          <w:szCs w:val="20"/>
        </w:rPr>
        <w:t>regimen</w:t>
      </w:r>
      <w:r w:rsidR="00A91ACC" w:rsidRPr="00A85AC6">
        <w:rPr>
          <w:color w:val="313131"/>
          <w:w w:val="105"/>
          <w:sz w:val="20"/>
          <w:szCs w:val="20"/>
        </w:rPr>
        <w:t xml:space="preserve"> </w:t>
      </w:r>
      <w:r w:rsidR="005B3647">
        <w:rPr>
          <w:color w:val="313131"/>
          <w:w w:val="105"/>
          <w:sz w:val="20"/>
          <w:szCs w:val="20"/>
        </w:rPr>
        <w:t xml:space="preserve">to </w:t>
      </w:r>
      <w:r w:rsidR="009037D2">
        <w:rPr>
          <w:color w:val="313131"/>
          <w:w w:val="105"/>
          <w:sz w:val="20"/>
          <w:szCs w:val="20"/>
        </w:rPr>
        <w:t>m</w:t>
      </w:r>
      <w:r w:rsidR="005D2BB6">
        <w:rPr>
          <w:color w:val="313131"/>
          <w:w w:val="105"/>
          <w:sz w:val="20"/>
          <w:szCs w:val="20"/>
        </w:rPr>
        <w:t xml:space="preserve">inimize </w:t>
      </w:r>
      <w:r w:rsidR="005B3647">
        <w:rPr>
          <w:color w:val="313131"/>
          <w:w w:val="105"/>
          <w:sz w:val="20"/>
          <w:szCs w:val="20"/>
        </w:rPr>
        <w:t xml:space="preserve">bone </w:t>
      </w:r>
      <w:r w:rsidR="005D2BB6">
        <w:rPr>
          <w:color w:val="313131"/>
          <w:w w:val="105"/>
          <w:sz w:val="20"/>
          <w:szCs w:val="20"/>
        </w:rPr>
        <w:t>loss throughout your body</w:t>
      </w:r>
      <w:r w:rsidR="00CD1A68">
        <w:rPr>
          <w:color w:val="313131"/>
          <w:w w:val="105"/>
          <w:sz w:val="20"/>
          <w:szCs w:val="20"/>
        </w:rPr>
        <w:t xml:space="preserve">. </w:t>
      </w:r>
      <w:r w:rsidR="00E32ECF">
        <w:rPr>
          <w:color w:val="313131"/>
          <w:w w:val="105"/>
          <w:sz w:val="20"/>
          <w:szCs w:val="20"/>
        </w:rPr>
        <w:t xml:space="preserve">However, </w:t>
      </w:r>
      <w:r w:rsidR="009F1707">
        <w:rPr>
          <w:color w:val="313131"/>
          <w:w w:val="105"/>
          <w:sz w:val="20"/>
          <w:szCs w:val="20"/>
        </w:rPr>
        <w:t>for the bone surrounding the teeth,</w:t>
      </w:r>
      <w:r w:rsidR="009F1707" w:rsidRPr="00A85AC6" w:rsidDel="00743076">
        <w:rPr>
          <w:color w:val="313131"/>
          <w:w w:val="105"/>
          <w:sz w:val="20"/>
          <w:szCs w:val="20"/>
        </w:rPr>
        <w:t xml:space="preserve"> </w:t>
      </w:r>
      <w:r w:rsidR="00E32ECF">
        <w:rPr>
          <w:color w:val="313131"/>
          <w:w w:val="105"/>
          <w:sz w:val="20"/>
          <w:szCs w:val="20"/>
        </w:rPr>
        <w:t>these medications may have a negative effect on</w:t>
      </w:r>
      <w:r w:rsidR="005D2BB6">
        <w:rPr>
          <w:color w:val="313131"/>
          <w:w w:val="105"/>
          <w:sz w:val="20"/>
          <w:szCs w:val="20"/>
        </w:rPr>
        <w:t xml:space="preserve"> normal orthodontic tooth movement.</w:t>
      </w:r>
      <w:r w:rsidR="008E65BB">
        <w:rPr>
          <w:color w:val="313131"/>
          <w:w w:val="105"/>
          <w:sz w:val="20"/>
          <w:szCs w:val="20"/>
        </w:rPr>
        <w:t xml:space="preserve"> </w:t>
      </w:r>
    </w:p>
    <w:p w:rsidR="003B5D2B" w:rsidRDefault="00A85AC6" w:rsidP="00CF4FDD">
      <w:pPr>
        <w:pStyle w:val="BodyText"/>
        <w:spacing w:line="278" w:lineRule="auto"/>
        <w:ind w:left="187" w:right="663"/>
        <w:rPr>
          <w:color w:val="313131"/>
          <w:sz w:val="20"/>
          <w:szCs w:val="20"/>
          <w:u w:val="single"/>
        </w:rPr>
      </w:pPr>
      <w:r w:rsidRPr="00A85AC6">
        <w:rPr>
          <w:color w:val="313131"/>
          <w:w w:val="105"/>
          <w:sz w:val="20"/>
          <w:szCs w:val="20"/>
        </w:rPr>
        <w:lastRenderedPageBreak/>
        <w:t xml:space="preserve">Because </w:t>
      </w:r>
      <w:r w:rsidR="005D2BB6" w:rsidRPr="00A85AC6">
        <w:rPr>
          <w:color w:val="313131"/>
          <w:w w:val="105"/>
          <w:sz w:val="20"/>
          <w:szCs w:val="20"/>
        </w:rPr>
        <w:t>the</w:t>
      </w:r>
      <w:r w:rsidR="005D2BB6">
        <w:rPr>
          <w:color w:val="313131"/>
          <w:w w:val="105"/>
          <w:sz w:val="20"/>
          <w:szCs w:val="20"/>
        </w:rPr>
        <w:t>se drugs</w:t>
      </w:r>
      <w:r w:rsidR="005D2BB6" w:rsidRPr="00A85AC6">
        <w:rPr>
          <w:color w:val="313131"/>
          <w:w w:val="105"/>
          <w:sz w:val="20"/>
          <w:szCs w:val="20"/>
        </w:rPr>
        <w:t xml:space="preserve"> </w:t>
      </w:r>
      <w:r w:rsidR="00E32ECF">
        <w:rPr>
          <w:color w:val="313131"/>
          <w:w w:val="105"/>
          <w:sz w:val="20"/>
          <w:szCs w:val="20"/>
        </w:rPr>
        <w:t>inhibit</w:t>
      </w:r>
      <w:r w:rsidRPr="00A85AC6">
        <w:rPr>
          <w:color w:val="313131"/>
          <w:w w:val="105"/>
          <w:sz w:val="20"/>
          <w:szCs w:val="20"/>
        </w:rPr>
        <w:t xml:space="preserve"> bone resorption</w:t>
      </w:r>
      <w:r w:rsidR="00A91ACC" w:rsidRPr="00A85AC6">
        <w:rPr>
          <w:color w:val="313131"/>
          <w:w w:val="105"/>
          <w:sz w:val="20"/>
          <w:szCs w:val="20"/>
        </w:rPr>
        <w:t xml:space="preserve">, </w:t>
      </w:r>
      <w:r w:rsidRPr="00705BCE">
        <w:rPr>
          <w:color w:val="313131"/>
          <w:w w:val="105"/>
          <w:sz w:val="20"/>
          <w:szCs w:val="20"/>
        </w:rPr>
        <w:t xml:space="preserve">it is likely they will </w:t>
      </w:r>
      <w:r w:rsidR="00A91ACC" w:rsidRPr="00705BCE">
        <w:rPr>
          <w:color w:val="313131"/>
          <w:w w:val="105"/>
          <w:sz w:val="20"/>
          <w:szCs w:val="20"/>
        </w:rPr>
        <w:t>inhibit tooth</w:t>
      </w:r>
      <w:r w:rsidR="00A91ACC" w:rsidRPr="00705BCE">
        <w:rPr>
          <w:color w:val="313131"/>
          <w:spacing w:val="-23"/>
          <w:w w:val="105"/>
          <w:sz w:val="20"/>
          <w:szCs w:val="20"/>
        </w:rPr>
        <w:t xml:space="preserve"> </w:t>
      </w:r>
      <w:r w:rsidR="00442D26">
        <w:rPr>
          <w:color w:val="313131"/>
          <w:w w:val="105"/>
          <w:sz w:val="20"/>
          <w:szCs w:val="20"/>
        </w:rPr>
        <w:t>movement during orthodontic</w:t>
      </w:r>
      <w:r w:rsidR="005D2BB6">
        <w:rPr>
          <w:color w:val="313131"/>
          <w:w w:val="105"/>
          <w:sz w:val="20"/>
          <w:szCs w:val="20"/>
        </w:rPr>
        <w:t xml:space="preserve"> treatment</w:t>
      </w:r>
      <w:r w:rsidR="00A91ACC" w:rsidRPr="00705BCE">
        <w:rPr>
          <w:color w:val="313131"/>
          <w:w w:val="95"/>
          <w:sz w:val="20"/>
          <w:szCs w:val="20"/>
        </w:rPr>
        <w:t>.</w:t>
      </w:r>
      <w:r w:rsidR="008E65BB">
        <w:rPr>
          <w:color w:val="313131"/>
          <w:w w:val="105"/>
          <w:sz w:val="20"/>
          <w:szCs w:val="20"/>
        </w:rPr>
        <w:t xml:space="preserve"> </w:t>
      </w:r>
      <w:r w:rsidR="00D9014E">
        <w:rPr>
          <w:color w:val="313131"/>
          <w:sz w:val="20"/>
          <w:szCs w:val="20"/>
        </w:rPr>
        <w:t xml:space="preserve">This </w:t>
      </w:r>
      <w:r w:rsidR="00BD3457">
        <w:rPr>
          <w:color w:val="313131"/>
          <w:sz w:val="20"/>
          <w:szCs w:val="20"/>
        </w:rPr>
        <w:t xml:space="preserve">inhibitory </w:t>
      </w:r>
      <w:r w:rsidR="00D9014E">
        <w:rPr>
          <w:color w:val="313131"/>
          <w:sz w:val="20"/>
          <w:szCs w:val="20"/>
        </w:rPr>
        <w:t xml:space="preserve">effect on tooth movement may lengthen your orthodontic treatment time.  </w:t>
      </w:r>
      <w:r w:rsidR="00A91ACC" w:rsidRPr="00A85AC6">
        <w:rPr>
          <w:color w:val="313131"/>
          <w:sz w:val="20"/>
          <w:szCs w:val="20"/>
          <w:u w:val="single"/>
        </w:rPr>
        <w:t>The effects of these medications may be severe</w:t>
      </w:r>
      <w:r w:rsidR="00A91ACC" w:rsidRPr="00A85AC6">
        <w:rPr>
          <w:b/>
          <w:color w:val="313131"/>
          <w:sz w:val="20"/>
          <w:szCs w:val="20"/>
          <w:u w:val="single"/>
        </w:rPr>
        <w:t xml:space="preserve"> </w:t>
      </w:r>
      <w:r w:rsidR="00A91ACC" w:rsidRPr="00A85AC6">
        <w:rPr>
          <w:color w:val="313131"/>
          <w:sz w:val="20"/>
          <w:szCs w:val="20"/>
          <w:u w:val="single"/>
        </w:rPr>
        <w:t>enough to stop</w:t>
      </w:r>
      <w:r w:rsidR="00A91ACC" w:rsidRPr="00A85AC6">
        <w:rPr>
          <w:color w:val="313131"/>
          <w:spacing w:val="-25"/>
          <w:sz w:val="20"/>
          <w:szCs w:val="20"/>
          <w:u w:val="single"/>
        </w:rPr>
        <w:t xml:space="preserve"> </w:t>
      </w:r>
      <w:r w:rsidR="00A91ACC" w:rsidRPr="00A85AC6">
        <w:rPr>
          <w:color w:val="313131"/>
          <w:sz w:val="20"/>
          <w:szCs w:val="20"/>
          <w:u w:val="single"/>
        </w:rPr>
        <w:t>tooth</w:t>
      </w:r>
      <w:r w:rsidR="00A91ACC" w:rsidRPr="00A85AC6">
        <w:rPr>
          <w:b/>
          <w:color w:val="313131"/>
          <w:spacing w:val="-26"/>
          <w:sz w:val="20"/>
          <w:szCs w:val="20"/>
          <w:u w:val="single"/>
        </w:rPr>
        <w:t xml:space="preserve"> </w:t>
      </w:r>
      <w:r w:rsidR="00A91ACC" w:rsidRPr="00A85AC6">
        <w:rPr>
          <w:color w:val="313131"/>
          <w:sz w:val="20"/>
          <w:szCs w:val="20"/>
          <w:u w:val="single"/>
        </w:rPr>
        <w:t>movement</w:t>
      </w:r>
      <w:r w:rsidR="00A91ACC" w:rsidRPr="00A85AC6">
        <w:rPr>
          <w:b/>
          <w:color w:val="313131"/>
          <w:sz w:val="20"/>
          <w:szCs w:val="20"/>
          <w:u w:val="single"/>
        </w:rPr>
        <w:t>,</w:t>
      </w:r>
      <w:r w:rsidR="00A91ACC" w:rsidRPr="00A85AC6">
        <w:rPr>
          <w:b/>
          <w:color w:val="313131"/>
          <w:spacing w:val="-14"/>
          <w:sz w:val="20"/>
          <w:szCs w:val="20"/>
          <w:u w:val="single"/>
        </w:rPr>
        <w:t xml:space="preserve"> </w:t>
      </w:r>
      <w:r w:rsidR="00BD3457">
        <w:rPr>
          <w:color w:val="313131"/>
          <w:sz w:val="20"/>
          <w:szCs w:val="20"/>
          <w:u w:val="single"/>
        </w:rPr>
        <w:t xml:space="preserve">which may require </w:t>
      </w:r>
      <w:r w:rsidR="00A65FCC">
        <w:rPr>
          <w:color w:val="313131"/>
          <w:sz w:val="20"/>
          <w:szCs w:val="20"/>
          <w:u w:val="single"/>
        </w:rPr>
        <w:t>cessation of</w:t>
      </w:r>
      <w:r w:rsidR="00BD3457">
        <w:rPr>
          <w:color w:val="313131"/>
          <w:sz w:val="20"/>
          <w:szCs w:val="20"/>
          <w:u w:val="single"/>
        </w:rPr>
        <w:t xml:space="preserve"> your</w:t>
      </w:r>
      <w:r w:rsidR="00A65FCC">
        <w:rPr>
          <w:color w:val="313131"/>
          <w:sz w:val="20"/>
          <w:szCs w:val="20"/>
          <w:u w:val="single"/>
        </w:rPr>
        <w:t xml:space="preserve"> treatment</w:t>
      </w:r>
      <w:r w:rsidR="00280EF4">
        <w:rPr>
          <w:color w:val="313131"/>
          <w:sz w:val="20"/>
          <w:szCs w:val="20"/>
          <w:u w:val="single"/>
        </w:rPr>
        <w:t xml:space="preserve"> (removal of braces)</w:t>
      </w:r>
      <w:r w:rsidR="00A65FCC">
        <w:rPr>
          <w:color w:val="313131"/>
          <w:sz w:val="20"/>
          <w:szCs w:val="20"/>
          <w:u w:val="single"/>
        </w:rPr>
        <w:t>,</w:t>
      </w:r>
      <w:r w:rsidR="00057AEF">
        <w:rPr>
          <w:color w:val="313131"/>
          <w:sz w:val="20"/>
          <w:szCs w:val="20"/>
          <w:u w:val="single"/>
        </w:rPr>
        <w:t xml:space="preserve"> resulting in tooth positions that are unfavorable.  </w:t>
      </w:r>
      <w:r w:rsidR="00057AEF" w:rsidRPr="00EE399C">
        <w:rPr>
          <w:color w:val="313131"/>
          <w:sz w:val="20"/>
          <w:szCs w:val="20"/>
          <w:u w:val="single"/>
        </w:rPr>
        <w:t>No orthodontist can pre</w:t>
      </w:r>
      <w:r w:rsidR="00057AEF" w:rsidRPr="00057AEF">
        <w:rPr>
          <w:color w:val="313131"/>
          <w:sz w:val="20"/>
          <w:szCs w:val="20"/>
          <w:u w:val="single"/>
        </w:rPr>
        <w:t xml:space="preserve">dict the effect bisphosphonates, or other </w:t>
      </w:r>
      <w:r w:rsidR="00EB4250" w:rsidRPr="00057AEF">
        <w:rPr>
          <w:color w:val="313131"/>
          <w:sz w:val="20"/>
          <w:szCs w:val="20"/>
          <w:u w:val="single"/>
        </w:rPr>
        <w:t xml:space="preserve">antiresorptive </w:t>
      </w:r>
      <w:r w:rsidR="00EB4250">
        <w:rPr>
          <w:color w:val="313131"/>
          <w:sz w:val="20"/>
          <w:szCs w:val="20"/>
          <w:u w:val="single"/>
        </w:rPr>
        <w:t>drugs</w:t>
      </w:r>
      <w:r w:rsidR="00057AEF" w:rsidRPr="00057AEF">
        <w:rPr>
          <w:color w:val="313131"/>
          <w:sz w:val="20"/>
          <w:szCs w:val="20"/>
          <w:u w:val="single"/>
        </w:rPr>
        <w:t xml:space="preserve">, on </w:t>
      </w:r>
      <w:r w:rsidR="00EB4250">
        <w:rPr>
          <w:color w:val="313131"/>
          <w:sz w:val="20"/>
          <w:szCs w:val="20"/>
          <w:u w:val="single"/>
        </w:rPr>
        <w:t>an</w:t>
      </w:r>
      <w:r w:rsidR="00057AEF" w:rsidRPr="00057AEF">
        <w:rPr>
          <w:color w:val="313131"/>
          <w:sz w:val="20"/>
          <w:szCs w:val="20"/>
          <w:u w:val="single"/>
        </w:rPr>
        <w:t xml:space="preserve"> individual’s orthodontic tooth movement.</w:t>
      </w:r>
    </w:p>
    <w:p w:rsidR="003B5D2B" w:rsidRDefault="003B5D2B" w:rsidP="00705BCE">
      <w:pPr>
        <w:pStyle w:val="BodyText"/>
        <w:spacing w:line="278" w:lineRule="auto"/>
        <w:ind w:right="483"/>
        <w:rPr>
          <w:color w:val="313131"/>
          <w:sz w:val="20"/>
          <w:szCs w:val="20"/>
          <w:u w:val="single"/>
        </w:rPr>
      </w:pPr>
    </w:p>
    <w:p w:rsidR="00EE399C" w:rsidRPr="00D35431" w:rsidRDefault="00EE399C" w:rsidP="003B0EFB">
      <w:pPr>
        <w:pStyle w:val="BodyText"/>
        <w:tabs>
          <w:tab w:val="left" w:pos="180"/>
        </w:tabs>
        <w:spacing w:line="278" w:lineRule="auto"/>
        <w:ind w:left="187" w:right="662"/>
        <w:rPr>
          <w:sz w:val="20"/>
        </w:rPr>
      </w:pPr>
      <w:r w:rsidRPr="00D35431">
        <w:rPr>
          <w:sz w:val="20"/>
        </w:rPr>
        <w:t xml:space="preserve">Long-term use of bisphosphonates has been observed to decrease bone healing. </w:t>
      </w:r>
      <w:r w:rsidRPr="00D35431">
        <w:rPr>
          <w:spacing w:val="-27"/>
          <w:sz w:val="20"/>
        </w:rPr>
        <w:t xml:space="preserve"> </w:t>
      </w:r>
      <w:r w:rsidR="00014288">
        <w:rPr>
          <w:sz w:val="20"/>
        </w:rPr>
        <w:t>This effect may impact</w:t>
      </w:r>
      <w:r w:rsidR="00014288">
        <w:rPr>
          <w:spacing w:val="-37"/>
          <w:sz w:val="20"/>
        </w:rPr>
        <w:t xml:space="preserve">  </w:t>
      </w:r>
      <w:r w:rsidRPr="00D35431">
        <w:rPr>
          <w:spacing w:val="-35"/>
          <w:sz w:val="20"/>
        </w:rPr>
        <w:t xml:space="preserve"> </w:t>
      </w:r>
      <w:r w:rsidRPr="00D35431">
        <w:rPr>
          <w:sz w:val="20"/>
        </w:rPr>
        <w:t>surgical</w:t>
      </w:r>
      <w:r w:rsidRPr="00D35431">
        <w:rPr>
          <w:spacing w:val="-23"/>
          <w:sz w:val="20"/>
        </w:rPr>
        <w:t xml:space="preserve"> </w:t>
      </w:r>
      <w:r w:rsidRPr="00D35431">
        <w:rPr>
          <w:sz w:val="20"/>
        </w:rPr>
        <w:t>procedures</w:t>
      </w:r>
      <w:r w:rsidRPr="00D35431">
        <w:rPr>
          <w:spacing w:val="-26"/>
          <w:sz w:val="20"/>
        </w:rPr>
        <w:t xml:space="preserve"> </w:t>
      </w:r>
      <w:r w:rsidRPr="00D35431">
        <w:rPr>
          <w:sz w:val="20"/>
        </w:rPr>
        <w:t>performed</w:t>
      </w:r>
      <w:r w:rsidRPr="00D35431">
        <w:rPr>
          <w:spacing w:val="-10"/>
          <w:sz w:val="20"/>
        </w:rPr>
        <w:t xml:space="preserve"> </w:t>
      </w:r>
      <w:r w:rsidRPr="00D35431">
        <w:rPr>
          <w:sz w:val="20"/>
        </w:rPr>
        <w:t>within</w:t>
      </w:r>
      <w:r w:rsidRPr="00D35431">
        <w:rPr>
          <w:spacing w:val="-4"/>
          <w:sz w:val="20"/>
        </w:rPr>
        <w:t xml:space="preserve"> </w:t>
      </w:r>
      <w:r w:rsidRPr="00D35431">
        <w:rPr>
          <w:spacing w:val="-3"/>
          <w:sz w:val="20"/>
        </w:rPr>
        <w:t>th</w:t>
      </w:r>
      <w:r w:rsidRPr="00D35431">
        <w:rPr>
          <w:color w:val="4D4D4D"/>
          <w:spacing w:val="-3"/>
          <w:sz w:val="20"/>
        </w:rPr>
        <w:t>e</w:t>
      </w:r>
      <w:r w:rsidRPr="00D35431">
        <w:rPr>
          <w:color w:val="4D4D4D"/>
          <w:spacing w:val="-24"/>
          <w:sz w:val="20"/>
        </w:rPr>
        <w:t xml:space="preserve"> </w:t>
      </w:r>
      <w:r w:rsidRPr="00D35431">
        <w:rPr>
          <w:spacing w:val="-9"/>
          <w:sz w:val="20"/>
        </w:rPr>
        <w:t>j</w:t>
      </w:r>
      <w:r w:rsidRPr="00D35431">
        <w:rPr>
          <w:color w:val="4D4D4D"/>
          <w:spacing w:val="-9"/>
          <w:sz w:val="20"/>
        </w:rPr>
        <w:t>aws</w:t>
      </w:r>
      <w:r w:rsidRPr="00D35431">
        <w:rPr>
          <w:color w:val="4D4D4D"/>
          <w:spacing w:val="-27"/>
          <w:sz w:val="20"/>
        </w:rPr>
        <w:t xml:space="preserve"> </w:t>
      </w:r>
      <w:r w:rsidRPr="00D35431">
        <w:rPr>
          <w:sz w:val="20"/>
        </w:rPr>
        <w:t>or</w:t>
      </w:r>
      <w:r w:rsidRPr="00D35431">
        <w:rPr>
          <w:spacing w:val="-18"/>
          <w:sz w:val="20"/>
        </w:rPr>
        <w:t xml:space="preserve"> </w:t>
      </w:r>
      <w:r w:rsidRPr="00D35431">
        <w:rPr>
          <w:sz w:val="20"/>
        </w:rPr>
        <w:t>bon</w:t>
      </w:r>
      <w:r w:rsidRPr="00D35431">
        <w:rPr>
          <w:color w:val="4D4D4D"/>
          <w:sz w:val="20"/>
        </w:rPr>
        <w:t>e</w:t>
      </w:r>
      <w:r w:rsidRPr="00D35431">
        <w:rPr>
          <w:color w:val="4D4D4D"/>
          <w:spacing w:val="-34"/>
          <w:sz w:val="20"/>
        </w:rPr>
        <w:t xml:space="preserve"> </w:t>
      </w:r>
      <w:r w:rsidRPr="00D35431">
        <w:rPr>
          <w:color w:val="4D4D4D"/>
          <w:sz w:val="20"/>
        </w:rPr>
        <w:t>s</w:t>
      </w:r>
      <w:r w:rsidRPr="00D35431">
        <w:rPr>
          <w:sz w:val="20"/>
        </w:rPr>
        <w:t>urrounding</w:t>
      </w:r>
      <w:r w:rsidRPr="00D35431">
        <w:rPr>
          <w:spacing w:val="-20"/>
          <w:sz w:val="20"/>
        </w:rPr>
        <w:t xml:space="preserve"> </w:t>
      </w:r>
      <w:r w:rsidRPr="00D35431">
        <w:rPr>
          <w:sz w:val="20"/>
        </w:rPr>
        <w:t>th</w:t>
      </w:r>
      <w:r w:rsidRPr="00D35431">
        <w:rPr>
          <w:color w:val="4D4D4D"/>
          <w:sz w:val="20"/>
        </w:rPr>
        <w:t>e</w:t>
      </w:r>
      <w:r w:rsidRPr="00D35431">
        <w:rPr>
          <w:color w:val="4D4D4D"/>
          <w:spacing w:val="-26"/>
          <w:sz w:val="20"/>
        </w:rPr>
        <w:t xml:space="preserve"> </w:t>
      </w:r>
      <w:r w:rsidR="00EB4250">
        <w:rPr>
          <w:sz w:val="20"/>
        </w:rPr>
        <w:t>teeth</w:t>
      </w:r>
      <w:r w:rsidR="00014288">
        <w:rPr>
          <w:sz w:val="20"/>
        </w:rPr>
        <w:t xml:space="preserve"> and </w:t>
      </w:r>
      <w:r w:rsidR="00EB4250">
        <w:rPr>
          <w:sz w:val="20"/>
        </w:rPr>
        <w:t xml:space="preserve">may </w:t>
      </w:r>
      <w:r w:rsidR="00014288">
        <w:rPr>
          <w:sz w:val="20"/>
        </w:rPr>
        <w:t>result in compromised healing</w:t>
      </w:r>
      <w:r w:rsidRPr="00D35431">
        <w:rPr>
          <w:sz w:val="20"/>
        </w:rPr>
        <w:t>, and, in some cases, no bone healing.</w:t>
      </w:r>
    </w:p>
    <w:p w:rsidR="00EE399C" w:rsidRPr="00D35431" w:rsidRDefault="00EE399C" w:rsidP="00705BCE">
      <w:pPr>
        <w:pStyle w:val="BodyText"/>
        <w:tabs>
          <w:tab w:val="left" w:pos="0"/>
        </w:tabs>
        <w:ind w:right="483"/>
        <w:rPr>
          <w:sz w:val="20"/>
        </w:rPr>
      </w:pPr>
    </w:p>
    <w:p w:rsidR="00EE399C" w:rsidRPr="00705BCE" w:rsidRDefault="00EE399C" w:rsidP="00705BCE">
      <w:pPr>
        <w:pStyle w:val="BodyText"/>
        <w:spacing w:line="278" w:lineRule="auto"/>
        <w:ind w:left="187" w:right="663"/>
        <w:rPr>
          <w:sz w:val="20"/>
          <w:szCs w:val="20"/>
        </w:rPr>
      </w:pPr>
      <w:r w:rsidRPr="00705BCE">
        <w:rPr>
          <w:sz w:val="20"/>
          <w:szCs w:val="20"/>
        </w:rPr>
        <w:t xml:space="preserve">The risk for developing osteonecrosis is higher for cancer patients on I.V. bisphosphonate therapy.  There is also a higher risk of osteonecrosis of the lower jaw for patients taking </w:t>
      </w:r>
      <w:r w:rsidR="003B0EFB" w:rsidRPr="009673EC">
        <w:rPr>
          <w:rStyle w:val="Emphasis"/>
          <w:b/>
          <w:i w:val="0"/>
          <w:sz w:val="20"/>
          <w:szCs w:val="20"/>
        </w:rPr>
        <w:t>Prolia</w:t>
      </w:r>
      <w:r w:rsidR="003B0EFB" w:rsidRPr="009673EC">
        <w:rPr>
          <w:rStyle w:val="st"/>
          <w:b/>
          <w:sz w:val="20"/>
          <w:szCs w:val="20"/>
        </w:rPr>
        <w:t>®</w:t>
      </w:r>
      <w:r w:rsidR="003B0EFB" w:rsidRPr="003B0EFB">
        <w:rPr>
          <w:rStyle w:val="st"/>
          <w:sz w:val="20"/>
          <w:szCs w:val="20"/>
        </w:rPr>
        <w:t xml:space="preserve"> (denosumab</w:t>
      </w:r>
      <w:r w:rsidRPr="00705BCE">
        <w:rPr>
          <w:sz w:val="20"/>
          <w:szCs w:val="20"/>
        </w:rPr>
        <w:t>, an Anti-RANKL agent).</w:t>
      </w:r>
    </w:p>
    <w:p w:rsidR="00FA0DD2" w:rsidRDefault="00FA0DD2" w:rsidP="00705BCE">
      <w:pPr>
        <w:pStyle w:val="BodyText"/>
        <w:rPr>
          <w:sz w:val="20"/>
          <w:szCs w:val="20"/>
        </w:rPr>
      </w:pPr>
    </w:p>
    <w:p w:rsidR="009A488A" w:rsidRPr="009A488A" w:rsidRDefault="009A488A" w:rsidP="009A488A">
      <w:pPr>
        <w:spacing w:line="271" w:lineRule="auto"/>
        <w:ind w:left="149" w:right="648" w:hanging="9"/>
        <w:rPr>
          <w:sz w:val="20"/>
          <w:szCs w:val="20"/>
        </w:rPr>
        <w:sectPr w:rsidR="009A488A" w:rsidRPr="009A488A" w:rsidSect="00705BCE">
          <w:type w:val="continuous"/>
          <w:pgSz w:w="12240" w:h="15840"/>
          <w:pgMar w:top="60" w:right="1350" w:bottom="0" w:left="920" w:header="720" w:footer="720" w:gutter="0"/>
          <w:cols w:num="2" w:space="46" w:equalWidth="0">
            <w:col w:w="5041" w:space="176"/>
            <w:col w:w="5703"/>
          </w:cols>
        </w:sectPr>
      </w:pPr>
    </w:p>
    <w:p w:rsidR="009037D2" w:rsidRDefault="009037D2">
      <w:pPr>
        <w:pStyle w:val="BodyText"/>
        <w:rPr>
          <w:sz w:val="20"/>
        </w:rPr>
      </w:pPr>
    </w:p>
    <w:p w:rsidR="00FA0DD2" w:rsidRDefault="001A195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DFA419" wp14:editId="7BA71517">
                <wp:simplePos x="0" y="0"/>
                <wp:positionH relativeFrom="page">
                  <wp:posOffset>732790</wp:posOffset>
                </wp:positionH>
                <wp:positionV relativeFrom="page">
                  <wp:posOffset>39370</wp:posOffset>
                </wp:positionV>
                <wp:extent cx="7039610" cy="0"/>
                <wp:effectExtent l="8890" t="10795" r="9525" b="82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9610" cy="0"/>
                        </a:xfrm>
                        <a:prstGeom prst="line">
                          <a:avLst/>
                        </a:pr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187E8E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7pt,3.1pt" to="61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y8Eg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" strokeweight=".33908mm">
                <w10:wrap anchorx="page" anchory="page"/>
              </v:line>
            </w:pict>
          </mc:Fallback>
        </mc:AlternateContent>
      </w:r>
    </w:p>
    <w:p w:rsidR="00FA0DD2" w:rsidRDefault="00A91ACC">
      <w:pPr>
        <w:spacing w:before="1" w:line="254" w:lineRule="auto"/>
        <w:ind w:left="145" w:right="1013" w:firstLine="5"/>
      </w:pPr>
      <w:r>
        <w:rPr>
          <w:color w:val="313131"/>
        </w:rPr>
        <w:t xml:space="preserve">I have reviewed this notice, and I understand the issues it describes.  I have discussed any questions I </w:t>
      </w:r>
      <w:r w:rsidR="002D0108">
        <w:rPr>
          <w:color w:val="313131"/>
        </w:rPr>
        <w:t>have with</w:t>
      </w:r>
      <w:r>
        <w:rPr>
          <w:color w:val="313131"/>
        </w:rPr>
        <w:t xml:space="preserve"> my doctor</w:t>
      </w:r>
      <w:r>
        <w:rPr>
          <w:color w:val="4D4D4D"/>
        </w:rPr>
        <w:t xml:space="preserve">. </w:t>
      </w:r>
      <w:r>
        <w:rPr>
          <w:color w:val="313131"/>
        </w:rPr>
        <w:t xml:space="preserve">I acknowledge I assume these risks and choose to </w:t>
      </w:r>
      <w:r w:rsidRPr="00F02442">
        <w:rPr>
          <w:color w:val="313131"/>
        </w:rPr>
        <w:t>continue with</w:t>
      </w:r>
      <w:r w:rsidRPr="00F02442">
        <w:rPr>
          <w:rFonts w:ascii="Arial"/>
          <w:color w:val="313131"/>
          <w:spacing w:val="17"/>
        </w:rPr>
        <w:t xml:space="preserve"> </w:t>
      </w:r>
      <w:r w:rsidRPr="00F02442">
        <w:rPr>
          <w:color w:val="313131"/>
        </w:rPr>
        <w:t>treatment</w:t>
      </w:r>
      <w:r>
        <w:rPr>
          <w:color w:val="313131"/>
        </w:rPr>
        <w:t>.</w:t>
      </w:r>
    </w:p>
    <w:p w:rsidR="00FA0DD2" w:rsidRDefault="00FA0DD2">
      <w:pPr>
        <w:pStyle w:val="BodyText"/>
        <w:rPr>
          <w:sz w:val="20"/>
        </w:rPr>
      </w:pPr>
    </w:p>
    <w:p w:rsidR="00FA0DD2" w:rsidRDefault="00FA0DD2">
      <w:pPr>
        <w:pStyle w:val="BodyText"/>
        <w:rPr>
          <w:sz w:val="20"/>
        </w:rPr>
      </w:pPr>
    </w:p>
    <w:p w:rsidR="00FA0DD2" w:rsidRDefault="001A195C">
      <w:pPr>
        <w:pStyle w:val="BodyText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229870</wp:posOffset>
                </wp:positionV>
                <wp:extent cx="2209800" cy="0"/>
                <wp:effectExtent l="5080" t="10795" r="13970" b="825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9414F9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9pt,18.1pt" to="226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MT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" strokeweight=".2543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ragraph">
                  <wp:posOffset>226695</wp:posOffset>
                </wp:positionV>
                <wp:extent cx="1257935" cy="0"/>
                <wp:effectExtent l="12700" t="7620" r="571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CC2AF2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0pt,17.85pt" to="349.0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j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" strokeweight=".25431mm">
                <w10:wrap type="topAndBottom" anchorx="page"/>
              </v:line>
            </w:pict>
          </mc:Fallback>
        </mc:AlternateContent>
      </w:r>
    </w:p>
    <w:p w:rsidR="00FA0DD2" w:rsidRDefault="00A91ACC">
      <w:pPr>
        <w:tabs>
          <w:tab w:val="left" w:pos="4108"/>
        </w:tabs>
        <w:spacing w:before="62"/>
        <w:ind w:left="150"/>
        <w:rPr>
          <w:rFonts w:ascii="Arial"/>
          <w:sz w:val="13"/>
        </w:rPr>
      </w:pPr>
      <w:r>
        <w:rPr>
          <w:rFonts w:ascii="Arial"/>
          <w:color w:val="313131"/>
          <w:w w:val="110"/>
          <w:sz w:val="13"/>
        </w:rPr>
        <w:t>Signature</w:t>
      </w:r>
      <w:r>
        <w:rPr>
          <w:rFonts w:ascii="Arial"/>
          <w:color w:val="313131"/>
          <w:spacing w:val="5"/>
          <w:w w:val="110"/>
          <w:sz w:val="13"/>
        </w:rPr>
        <w:t xml:space="preserve"> </w:t>
      </w:r>
      <w:r>
        <w:rPr>
          <w:rFonts w:ascii="Arial"/>
          <w:color w:val="313131"/>
          <w:w w:val="110"/>
          <w:sz w:val="13"/>
        </w:rPr>
        <w:t>of</w:t>
      </w:r>
      <w:r>
        <w:rPr>
          <w:rFonts w:ascii="Arial"/>
          <w:color w:val="313131"/>
          <w:spacing w:val="7"/>
          <w:w w:val="110"/>
          <w:sz w:val="13"/>
        </w:rPr>
        <w:t xml:space="preserve"> </w:t>
      </w:r>
      <w:r>
        <w:rPr>
          <w:rFonts w:ascii="Arial"/>
          <w:color w:val="313131"/>
          <w:w w:val="110"/>
          <w:sz w:val="13"/>
        </w:rPr>
        <w:t>Patient/Parent/Guardian</w:t>
      </w:r>
      <w:r>
        <w:rPr>
          <w:rFonts w:ascii="Arial"/>
          <w:color w:val="313131"/>
          <w:w w:val="110"/>
          <w:sz w:val="13"/>
        </w:rPr>
        <w:tab/>
        <w:t>Date</w:t>
      </w:r>
    </w:p>
    <w:p w:rsidR="00FA0DD2" w:rsidRDefault="00FA0DD2">
      <w:pPr>
        <w:pStyle w:val="BodyText"/>
        <w:rPr>
          <w:rFonts w:ascii="Arial"/>
          <w:sz w:val="20"/>
        </w:rPr>
      </w:pPr>
    </w:p>
    <w:p w:rsidR="00FA0DD2" w:rsidRDefault="00FA0DD2">
      <w:pPr>
        <w:pStyle w:val="BodyText"/>
        <w:rPr>
          <w:rFonts w:ascii="Arial"/>
          <w:sz w:val="20"/>
        </w:rPr>
      </w:pPr>
    </w:p>
    <w:p w:rsidR="00FA0DD2" w:rsidRDefault="00FA0DD2">
      <w:pPr>
        <w:pStyle w:val="BodyText"/>
        <w:rPr>
          <w:rFonts w:ascii="Arial"/>
          <w:sz w:val="20"/>
        </w:rPr>
      </w:pPr>
    </w:p>
    <w:p w:rsidR="00FA0DD2" w:rsidRDefault="00FA0DD2">
      <w:pPr>
        <w:pStyle w:val="BodyText"/>
        <w:rPr>
          <w:rFonts w:ascii="Arial"/>
          <w:sz w:val="20"/>
        </w:rPr>
      </w:pPr>
    </w:p>
    <w:p w:rsidR="00FA0DD2" w:rsidRDefault="00FA0DD2">
      <w:pPr>
        <w:spacing w:before="19" w:line="125" w:lineRule="exact"/>
        <w:ind w:left="1471" w:right="2030"/>
        <w:jc w:val="center"/>
        <w:rPr>
          <w:b/>
          <w:sz w:val="17"/>
        </w:rPr>
      </w:pPr>
    </w:p>
    <w:p w:rsidR="009A488A" w:rsidRDefault="009A488A">
      <w:pPr>
        <w:spacing w:before="19" w:line="125" w:lineRule="exact"/>
        <w:ind w:left="1471" w:right="2030"/>
        <w:jc w:val="center"/>
        <w:rPr>
          <w:b/>
          <w:sz w:val="17"/>
        </w:rPr>
      </w:pPr>
    </w:p>
    <w:sectPr w:rsidR="009A488A">
      <w:type w:val="continuous"/>
      <w:pgSz w:w="12240" w:h="15840"/>
      <w:pgMar w:top="60" w:right="40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D2"/>
    <w:rsid w:val="00014288"/>
    <w:rsid w:val="00057AEF"/>
    <w:rsid w:val="001069B6"/>
    <w:rsid w:val="001A195C"/>
    <w:rsid w:val="001A3D23"/>
    <w:rsid w:val="00202F1D"/>
    <w:rsid w:val="00280EF4"/>
    <w:rsid w:val="002D0108"/>
    <w:rsid w:val="00300C9C"/>
    <w:rsid w:val="00394235"/>
    <w:rsid w:val="003A0C2C"/>
    <w:rsid w:val="003B0EFB"/>
    <w:rsid w:val="003B5D2B"/>
    <w:rsid w:val="00442D26"/>
    <w:rsid w:val="00450D59"/>
    <w:rsid w:val="005B3647"/>
    <w:rsid w:val="005D2BB6"/>
    <w:rsid w:val="005E3926"/>
    <w:rsid w:val="0060377A"/>
    <w:rsid w:val="006A4FE9"/>
    <w:rsid w:val="00705BCE"/>
    <w:rsid w:val="00743076"/>
    <w:rsid w:val="008E65BB"/>
    <w:rsid w:val="009037D2"/>
    <w:rsid w:val="009061D2"/>
    <w:rsid w:val="009673EC"/>
    <w:rsid w:val="009A488A"/>
    <w:rsid w:val="009F1707"/>
    <w:rsid w:val="00A65FCC"/>
    <w:rsid w:val="00A85AC6"/>
    <w:rsid w:val="00A91ACC"/>
    <w:rsid w:val="00B27F63"/>
    <w:rsid w:val="00B61B0C"/>
    <w:rsid w:val="00BD3457"/>
    <w:rsid w:val="00C03025"/>
    <w:rsid w:val="00CD1A68"/>
    <w:rsid w:val="00CE49A7"/>
    <w:rsid w:val="00CF4FDD"/>
    <w:rsid w:val="00D9014E"/>
    <w:rsid w:val="00DE0439"/>
    <w:rsid w:val="00E16C35"/>
    <w:rsid w:val="00E32ECF"/>
    <w:rsid w:val="00EB4250"/>
    <w:rsid w:val="00ED3DA9"/>
    <w:rsid w:val="00EE399C"/>
    <w:rsid w:val="00F02442"/>
    <w:rsid w:val="00F172CA"/>
    <w:rsid w:val="00F23616"/>
    <w:rsid w:val="00FA0DD2"/>
    <w:rsid w:val="00FA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00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9C"/>
    <w:rPr>
      <w:rFonts w:ascii="Segoe UI" w:eastAsia="Times New Roman" w:hAnsi="Segoe UI" w:cs="Segoe UI"/>
      <w:sz w:val="18"/>
      <w:szCs w:val="18"/>
    </w:rPr>
  </w:style>
  <w:style w:type="character" w:customStyle="1" w:styleId="st">
    <w:name w:val="st"/>
    <w:basedOn w:val="DefaultParagraphFont"/>
    <w:rsid w:val="003B0EFB"/>
  </w:style>
  <w:style w:type="character" w:styleId="Emphasis">
    <w:name w:val="Emphasis"/>
    <w:basedOn w:val="DefaultParagraphFont"/>
    <w:uiPriority w:val="20"/>
    <w:qFormat/>
    <w:rsid w:val="003B0E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00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9C"/>
    <w:rPr>
      <w:rFonts w:ascii="Segoe UI" w:eastAsia="Times New Roman" w:hAnsi="Segoe UI" w:cs="Segoe UI"/>
      <w:sz w:val="18"/>
      <w:szCs w:val="18"/>
    </w:rPr>
  </w:style>
  <w:style w:type="character" w:customStyle="1" w:styleId="st">
    <w:name w:val="st"/>
    <w:basedOn w:val="DefaultParagraphFont"/>
    <w:rsid w:val="003B0EFB"/>
  </w:style>
  <w:style w:type="character" w:styleId="Emphasis">
    <w:name w:val="Emphasis"/>
    <w:basedOn w:val="DefaultParagraphFont"/>
    <w:uiPriority w:val="20"/>
    <w:qFormat/>
    <w:rsid w:val="003B0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3E75-4A8A-480E-9D97-A4497A18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Bisphosphonate IC doc</vt:lpstr>
    </vt:vector>
  </TitlesOfParts>
  <Company>Windows User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Bisphosphonate IC doc</dc:title>
  <dc:creator>efranklin</dc:creator>
  <cp:lastModifiedBy>Baum, Alan</cp:lastModifiedBy>
  <cp:revision>2</cp:revision>
  <cp:lastPrinted>2018-01-11T04:06:00Z</cp:lastPrinted>
  <dcterms:created xsi:type="dcterms:W3CDTF">2018-03-14T18:47:00Z</dcterms:created>
  <dcterms:modified xsi:type="dcterms:W3CDTF">2018-03-14T18:47:00Z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Canon iR-ADV C5550  PDF</vt:lpwstr>
  </property>
  <property fmtid="{D5CDD505-2E9C-101B-9397-08002B2CF9AE}" pid="4" name="LastSaved">
    <vt:filetime>2017-11-21T00:00:00Z</vt:filetime>
  </property>
</Properties>
</file>